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宋体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仿宋"/>
          <w:kern w:val="0"/>
          <w:sz w:val="32"/>
          <w:szCs w:val="32"/>
          <w:lang w:val="en-US" w:eastAsia="zh-CN" w:bidi="ar"/>
        </w:rPr>
        <w:t>10</w:t>
      </w:r>
      <w:r>
        <w:rPr>
          <w:rFonts w:hint="eastAsia" w:ascii="仿宋" w:hAnsi="仿宋" w:eastAsia="仿宋" w:cs="仿宋"/>
          <w:color w:val="FF0000"/>
          <w:kern w:val="0"/>
          <w:sz w:val="24"/>
          <w:lang w:bidi="ar"/>
        </w:rPr>
        <w:t xml:space="preserve"> </w:t>
      </w:r>
    </w:p>
    <w:p>
      <w:pPr>
        <w:adjustRightInd w:val="0"/>
        <w:snapToGrid w:val="0"/>
        <w:spacing w:line="640" w:lineRule="exact"/>
        <w:jc w:val="center"/>
        <w:rPr>
          <w:rFonts w:hint="eastAsia" w:ascii="黑体" w:hAnsi="黑体" w:eastAsia="黑体" w:cs="宋体"/>
          <w:kern w:val="0"/>
          <w:sz w:val="36"/>
          <w:szCs w:val="36"/>
          <w:lang w:bidi="ar"/>
        </w:rPr>
      </w:pPr>
    </w:p>
    <w:p>
      <w:pPr>
        <w:adjustRightInd w:val="0"/>
        <w:snapToGrid w:val="0"/>
        <w:spacing w:line="640" w:lineRule="exact"/>
        <w:jc w:val="center"/>
        <w:rPr>
          <w:rFonts w:hint="eastAsia" w:ascii="黑体" w:hAnsi="黑体" w:eastAsia="黑体" w:cs="宋体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宋体"/>
          <w:kern w:val="0"/>
          <w:sz w:val="36"/>
          <w:szCs w:val="36"/>
          <w:lang w:bidi="ar"/>
        </w:rPr>
        <w:t>弘一大师•丰子恺研究中心</w:t>
      </w:r>
      <w:r>
        <w:rPr>
          <w:rFonts w:ascii="黑体" w:hAnsi="黑体" w:eastAsia="黑体" w:cs="宋体"/>
          <w:kern w:val="0"/>
          <w:sz w:val="36"/>
          <w:szCs w:val="36"/>
          <w:lang w:bidi="ar"/>
        </w:rPr>
        <w:t>202</w:t>
      </w:r>
      <w:r>
        <w:rPr>
          <w:rFonts w:hint="eastAsia" w:ascii="黑体" w:hAnsi="黑体" w:eastAsia="黑体" w:cs="宋体"/>
          <w:kern w:val="0"/>
          <w:sz w:val="36"/>
          <w:szCs w:val="36"/>
          <w:lang w:bidi="ar"/>
        </w:rPr>
        <w:t>2</w:t>
      </w:r>
      <w:r>
        <w:rPr>
          <w:rFonts w:ascii="黑体" w:hAnsi="黑体" w:eastAsia="黑体" w:cs="宋体"/>
          <w:kern w:val="0"/>
          <w:sz w:val="36"/>
          <w:szCs w:val="36"/>
          <w:lang w:bidi="ar"/>
        </w:rPr>
        <w:t>年艺术学理论专业</w:t>
      </w:r>
    </w:p>
    <w:p>
      <w:pPr>
        <w:adjustRightInd w:val="0"/>
        <w:snapToGrid w:val="0"/>
        <w:spacing w:line="640" w:lineRule="exact"/>
        <w:jc w:val="center"/>
        <w:rPr>
          <w:rFonts w:ascii="黑体" w:hAnsi="黑体" w:eastAsia="黑体" w:cs="宋体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宋体"/>
          <w:kern w:val="0"/>
          <w:sz w:val="36"/>
          <w:szCs w:val="36"/>
          <w:lang w:bidi="ar"/>
        </w:rPr>
        <w:t>研究生招生</w:t>
      </w:r>
      <w:r>
        <w:rPr>
          <w:rFonts w:ascii="黑体" w:hAnsi="黑体" w:eastAsia="黑体" w:cs="宋体"/>
          <w:kern w:val="0"/>
          <w:sz w:val="36"/>
          <w:szCs w:val="36"/>
          <w:lang w:bidi="ar"/>
        </w:rPr>
        <w:t>复试细则</w:t>
      </w:r>
    </w:p>
    <w:p>
      <w:pPr>
        <w:adjustRightInd w:val="0"/>
        <w:snapToGrid w:val="0"/>
        <w:spacing w:line="640" w:lineRule="exact"/>
        <w:jc w:val="center"/>
        <w:rPr>
          <w:rFonts w:ascii="黑体" w:hAnsi="黑体" w:eastAsia="黑体" w:cs="宋体"/>
          <w:kern w:val="0"/>
          <w:sz w:val="36"/>
          <w:szCs w:val="36"/>
          <w:lang w:bidi="ar"/>
        </w:rPr>
      </w:pP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受疫情影响，结合抗疫需要，根据学校统一部署，2022年弘一大师</w:t>
      </w:r>
      <w:r>
        <w:rPr>
          <w:rFonts w:hint="eastAsia" w:ascii="宋体" w:hAnsi="宋体" w:cs="宋体"/>
          <w:kern w:val="0"/>
          <w:sz w:val="32"/>
          <w:szCs w:val="32"/>
          <w:lang w:bidi="ar"/>
        </w:rPr>
        <w:t>•</w: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丰子恺研究中心研究生复试采用网络远程形式进行。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kern w:val="0"/>
          <w:sz w:val="32"/>
          <w:szCs w:val="32"/>
          <w:lang w:bidi="ar"/>
        </w:rPr>
      </w:pPr>
    </w:p>
    <w:tbl>
      <w:tblPr>
        <w:tblStyle w:val="2"/>
        <w:tblW w:w="82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6"/>
        <w:gridCol w:w="1800"/>
        <w:gridCol w:w="40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 xml:space="preserve">学院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专业名称</w:t>
            </w:r>
          </w:p>
        </w:tc>
        <w:tc>
          <w:tcPr>
            <w:tcW w:w="4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复试内容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弘一大师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bidi="ar"/>
              </w:rPr>
              <w:t>•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丰子恺研究中心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 xml:space="preserve">艺术学理论 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一、专业素养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 xml:space="preserve">二、综合素养 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三、外语听说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bidi="ar"/>
              </w:rPr>
              <w:t>四、思政考核</w:t>
            </w:r>
          </w:p>
        </w:tc>
      </w:tr>
    </w:tbl>
    <w:p>
      <w:pPr>
        <w:rPr>
          <w:vanish/>
        </w:rPr>
      </w:pPr>
    </w:p>
    <w:tbl>
      <w:tblPr>
        <w:tblStyle w:val="2"/>
        <w:tblpPr w:leftFromText="180" w:rightFromText="180" w:vertAnchor="text" w:tblpX="10214" w:tblpY="-1284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4" w:type="dxa"/>
            <w:tcBorders>
              <w:left w:val="nil"/>
            </w:tcBorders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" w:hAnsi="仿宋" w:eastAsia="仿宋" w:cs="仿宋"/>
                <w:kern w:val="0"/>
                <w:sz w:val="32"/>
                <w:szCs w:val="32"/>
                <w:lang w:bidi="ar"/>
              </w:rPr>
            </w:pPr>
          </w:p>
        </w:tc>
      </w:tr>
    </w:tbl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备注：复试成绩（满分100分）=专业素养（40分）+综合素养（50分）+外语听说（10分）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0014C"/>
    <w:rsid w:val="02D0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338</Characters>
  <Lines>0</Lines>
  <Paragraphs>0</Paragraphs>
  <TotalTime>1</TotalTime>
  <ScaleCrop>false</ScaleCrop>
  <LinksUpToDate>false</LinksUpToDate>
  <CharactersWithSpaces>345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2022-03-25T06:27:00Z</dcterms:created>
  <dc:creator>古三皮</dc:creator>
  <cp:lastModifiedBy>古三皮</cp:lastModifiedBy>
  <dcterms:modified xsi:type="dcterms:W3CDTF">2022-03-25T06:29:19Z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E596866747E044C8AE4680E3A034B98A</vt:lpwstr>
  </property>
</Properties>
</file>